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71" w:rsidRPr="00D8309A" w:rsidRDefault="00DE0271" w:rsidP="00DE0271">
      <w:pPr>
        <w:spacing w:before="100" w:beforeAutospacing="1" w:after="100" w:afterAutospacing="1" w:line="240" w:lineRule="auto"/>
        <w:outlineLvl w:val="0"/>
        <w:rPr>
          <w:rFonts w:ascii="Times New Roman" w:eastAsia="Times New Roman" w:hAnsi="Times New Roman" w:cs="Times New Roman"/>
          <w:b/>
          <w:bCs/>
          <w:kern w:val="36"/>
          <w:sz w:val="48"/>
          <w:szCs w:val="48"/>
          <w:lang w:eastAsia="is-IS"/>
        </w:rPr>
      </w:pPr>
      <w:r w:rsidRPr="00D8309A">
        <w:rPr>
          <w:rFonts w:ascii="Times New Roman" w:eastAsia="Times New Roman" w:hAnsi="Times New Roman" w:cs="Times New Roman"/>
          <w:b/>
          <w:bCs/>
          <w:kern w:val="36"/>
          <w:sz w:val="48"/>
          <w:szCs w:val="48"/>
          <w:lang w:eastAsia="is-IS"/>
        </w:rPr>
        <w:t>Lóðarúthlutun.</w:t>
      </w:r>
    </w:p>
    <w:p w:rsidR="00DE0271" w:rsidRPr="00D8309A" w:rsidRDefault="00DE0271" w:rsidP="00DE0271">
      <w:pPr>
        <w:spacing w:before="100" w:beforeAutospacing="1" w:after="100" w:afterAutospacing="1" w:line="240" w:lineRule="auto"/>
        <w:outlineLvl w:val="0"/>
        <w:rPr>
          <w:rFonts w:ascii="Times New Roman" w:eastAsia="Times New Roman" w:hAnsi="Times New Roman" w:cs="Times New Roman"/>
          <w:b/>
          <w:bCs/>
          <w:kern w:val="36"/>
          <w:lang w:eastAsia="is-IS"/>
        </w:rPr>
      </w:pPr>
      <w:r w:rsidRPr="00D8309A">
        <w:rPr>
          <w:rFonts w:ascii="Times New Roman" w:eastAsia="Times New Roman" w:hAnsi="Times New Roman" w:cs="Times New Roman"/>
          <w:b/>
          <w:bCs/>
          <w:kern w:val="36"/>
          <w:lang w:eastAsia="is-IS"/>
        </w:rPr>
        <w:t>Reglur um úthlutun lóða fylgja með úthlutun og skal fylgja ákvæðum þeirra.</w:t>
      </w:r>
    </w:p>
    <w:tbl>
      <w:tblPr>
        <w:tblStyle w:val="TableGrid"/>
        <w:tblW w:w="15300" w:type="dxa"/>
        <w:tblInd w:w="-432" w:type="dxa"/>
        <w:tblLayout w:type="fixed"/>
        <w:tblLook w:val="00A0" w:firstRow="1" w:lastRow="0" w:firstColumn="1" w:lastColumn="0" w:noHBand="0" w:noVBand="0"/>
      </w:tblPr>
      <w:tblGrid>
        <w:gridCol w:w="1420"/>
        <w:gridCol w:w="2409"/>
        <w:gridCol w:w="1843"/>
        <w:gridCol w:w="2268"/>
        <w:gridCol w:w="2126"/>
        <w:gridCol w:w="1418"/>
        <w:gridCol w:w="2126"/>
        <w:gridCol w:w="1690"/>
      </w:tblGrid>
      <w:tr w:rsidR="00DE0271" w:rsidRPr="00D8309A" w:rsidTr="008C762D">
        <w:tc>
          <w:tcPr>
            <w:tcW w:w="1420" w:type="dxa"/>
          </w:tcPr>
          <w:p w:rsidR="00DE0271" w:rsidRPr="00D8309A" w:rsidRDefault="00DE0271" w:rsidP="008C762D">
            <w:pPr>
              <w:rPr>
                <w:b/>
                <w:sz w:val="24"/>
                <w:szCs w:val="24"/>
                <w:lang w:val="en-GB"/>
              </w:rPr>
            </w:pPr>
            <w:proofErr w:type="spellStart"/>
            <w:r>
              <w:rPr>
                <w:b/>
                <w:sz w:val="24"/>
                <w:szCs w:val="24"/>
                <w:lang w:val="en-GB"/>
              </w:rPr>
              <w:t>Nafn</w:t>
            </w:r>
            <w:proofErr w:type="spellEnd"/>
            <w:r>
              <w:rPr>
                <w:b/>
                <w:sz w:val="24"/>
                <w:szCs w:val="24"/>
                <w:lang w:val="en-GB"/>
              </w:rPr>
              <w:t xml:space="preserve"> á </w:t>
            </w:r>
            <w:proofErr w:type="spellStart"/>
            <w:r>
              <w:rPr>
                <w:b/>
                <w:sz w:val="24"/>
                <w:szCs w:val="24"/>
                <w:lang w:val="en-GB"/>
              </w:rPr>
              <w:t>lóð</w:t>
            </w:r>
            <w:proofErr w:type="spellEnd"/>
          </w:p>
        </w:tc>
        <w:tc>
          <w:tcPr>
            <w:tcW w:w="2409" w:type="dxa"/>
          </w:tcPr>
          <w:p w:rsidR="00DE0271" w:rsidRPr="00D8309A" w:rsidRDefault="00DE0271" w:rsidP="008C762D">
            <w:pPr>
              <w:rPr>
                <w:sz w:val="24"/>
                <w:szCs w:val="24"/>
                <w:lang w:val="en-GB"/>
              </w:rPr>
            </w:pPr>
            <w:proofErr w:type="spellStart"/>
            <w:r w:rsidRPr="00D8309A">
              <w:rPr>
                <w:sz w:val="24"/>
                <w:szCs w:val="24"/>
                <w:lang w:val="en-GB"/>
              </w:rPr>
              <w:t>N</w:t>
            </w:r>
            <w:r w:rsidRPr="00D8309A">
              <w:rPr>
                <w:sz w:val="24"/>
                <w:szCs w:val="24"/>
                <w:lang w:val="en-GB"/>
              </w:rPr>
              <w:t>afn</w:t>
            </w:r>
            <w:proofErr w:type="spellEnd"/>
            <w:r>
              <w:rPr>
                <w:sz w:val="24"/>
                <w:szCs w:val="24"/>
                <w:lang w:val="en-GB"/>
              </w:rPr>
              <w:t xml:space="preserve"> </w:t>
            </w:r>
            <w:proofErr w:type="spellStart"/>
            <w:r>
              <w:rPr>
                <w:sz w:val="24"/>
                <w:szCs w:val="24"/>
                <w:lang w:val="en-GB"/>
              </w:rPr>
              <w:t>umsækjanda</w:t>
            </w:r>
            <w:proofErr w:type="spellEnd"/>
          </w:p>
        </w:tc>
        <w:tc>
          <w:tcPr>
            <w:tcW w:w="1843" w:type="dxa"/>
          </w:tcPr>
          <w:p w:rsidR="00DE0271" w:rsidRPr="00D8309A" w:rsidRDefault="00DE0271" w:rsidP="008C762D">
            <w:pPr>
              <w:rPr>
                <w:sz w:val="24"/>
                <w:szCs w:val="24"/>
                <w:lang w:val="en-GB"/>
              </w:rPr>
            </w:pPr>
            <w:proofErr w:type="spellStart"/>
            <w:r>
              <w:rPr>
                <w:sz w:val="24"/>
                <w:szCs w:val="24"/>
                <w:lang w:val="en-GB"/>
              </w:rPr>
              <w:t>Lóð</w:t>
            </w:r>
            <w:proofErr w:type="spellEnd"/>
            <w:r>
              <w:rPr>
                <w:sz w:val="24"/>
                <w:szCs w:val="24"/>
                <w:lang w:val="en-GB"/>
              </w:rPr>
              <w:t xml:space="preserve"> </w:t>
            </w:r>
            <w:proofErr w:type="spellStart"/>
            <w:r w:rsidRPr="00D8309A">
              <w:rPr>
                <w:sz w:val="24"/>
                <w:szCs w:val="24"/>
                <w:lang w:val="en-GB"/>
              </w:rPr>
              <w:t>úthlutað</w:t>
            </w:r>
            <w:proofErr w:type="spellEnd"/>
          </w:p>
        </w:tc>
        <w:tc>
          <w:tcPr>
            <w:tcW w:w="2268" w:type="dxa"/>
          </w:tcPr>
          <w:p w:rsidR="00DE0271" w:rsidRPr="00D8309A" w:rsidRDefault="00DE0271" w:rsidP="008C762D">
            <w:pPr>
              <w:rPr>
                <w:sz w:val="24"/>
                <w:szCs w:val="24"/>
                <w:lang w:val="sv-SE"/>
              </w:rPr>
            </w:pPr>
            <w:r w:rsidRPr="00D8309A">
              <w:rPr>
                <w:sz w:val="24"/>
                <w:szCs w:val="24"/>
                <w:lang w:val="sv-SE"/>
              </w:rPr>
              <w:t>Staðfestingargjald</w:t>
            </w:r>
            <w:r>
              <w:rPr>
                <w:sz w:val="24"/>
                <w:szCs w:val="24"/>
                <w:lang w:val="sv-SE"/>
              </w:rPr>
              <w:t>, 15% af lóðarverði</w:t>
            </w:r>
          </w:p>
          <w:p w:rsidR="00DE0271" w:rsidRPr="00D8309A" w:rsidRDefault="00DE0271" w:rsidP="008C762D">
            <w:pPr>
              <w:rPr>
                <w:sz w:val="24"/>
                <w:szCs w:val="24"/>
                <w:lang w:val="sv-SE"/>
              </w:rPr>
            </w:pPr>
            <w:r w:rsidRPr="00D8309A">
              <w:rPr>
                <w:sz w:val="24"/>
                <w:szCs w:val="24"/>
                <w:lang w:val="sv-SE"/>
              </w:rPr>
              <w:t xml:space="preserve"> innan eins mánaðar</w:t>
            </w:r>
            <w:r>
              <w:rPr>
                <w:sz w:val="24"/>
                <w:szCs w:val="24"/>
                <w:lang w:val="sv-SE"/>
              </w:rPr>
              <w:t xml:space="preserve"> frá lóðarúthlutun</w:t>
            </w:r>
          </w:p>
        </w:tc>
        <w:tc>
          <w:tcPr>
            <w:tcW w:w="2126" w:type="dxa"/>
          </w:tcPr>
          <w:p w:rsidR="00DE0271" w:rsidRPr="00D8309A" w:rsidRDefault="00DE0271" w:rsidP="008C762D">
            <w:pPr>
              <w:rPr>
                <w:sz w:val="24"/>
                <w:szCs w:val="24"/>
                <w:lang w:val="sv-SE"/>
              </w:rPr>
            </w:pPr>
            <w:proofErr w:type="spellStart"/>
            <w:r w:rsidRPr="00D8309A">
              <w:rPr>
                <w:sz w:val="24"/>
                <w:szCs w:val="24"/>
                <w:lang w:val="en-GB"/>
              </w:rPr>
              <w:t>Teikningar</w:t>
            </w:r>
            <w:proofErr w:type="spellEnd"/>
            <w:r w:rsidRPr="00D8309A">
              <w:rPr>
                <w:sz w:val="24"/>
                <w:szCs w:val="24"/>
                <w:lang w:val="en-GB"/>
              </w:rPr>
              <w:t xml:space="preserve"> </w:t>
            </w:r>
            <w:proofErr w:type="spellStart"/>
            <w:r w:rsidRPr="00D8309A">
              <w:rPr>
                <w:sz w:val="24"/>
                <w:szCs w:val="24"/>
                <w:lang w:val="en-GB"/>
              </w:rPr>
              <w:t>innan</w:t>
            </w:r>
            <w:proofErr w:type="spellEnd"/>
            <w:r w:rsidRPr="00D8309A">
              <w:rPr>
                <w:sz w:val="24"/>
                <w:szCs w:val="24"/>
                <w:lang w:val="en-GB"/>
              </w:rPr>
              <w:t xml:space="preserve"> 6 </w:t>
            </w:r>
            <w:proofErr w:type="spellStart"/>
            <w:r w:rsidRPr="00D8309A">
              <w:rPr>
                <w:sz w:val="24"/>
                <w:szCs w:val="24"/>
                <w:lang w:val="en-GB"/>
              </w:rPr>
              <w:t>mánaða</w:t>
            </w:r>
            <w:proofErr w:type="spellEnd"/>
            <w:r>
              <w:rPr>
                <w:sz w:val="24"/>
                <w:szCs w:val="24"/>
                <w:lang w:val="en-GB"/>
              </w:rPr>
              <w:t xml:space="preserve"> </w:t>
            </w:r>
            <w:proofErr w:type="spellStart"/>
            <w:r>
              <w:rPr>
                <w:sz w:val="24"/>
                <w:szCs w:val="24"/>
                <w:lang w:val="en-GB"/>
              </w:rPr>
              <w:t>frá</w:t>
            </w:r>
            <w:proofErr w:type="spellEnd"/>
            <w:r>
              <w:rPr>
                <w:sz w:val="24"/>
                <w:szCs w:val="24"/>
                <w:lang w:val="en-GB"/>
              </w:rPr>
              <w:t xml:space="preserve"> </w:t>
            </w:r>
            <w:proofErr w:type="spellStart"/>
            <w:r>
              <w:rPr>
                <w:sz w:val="24"/>
                <w:szCs w:val="24"/>
                <w:lang w:val="en-GB"/>
              </w:rPr>
              <w:t>lóðarúthlutun</w:t>
            </w:r>
            <w:proofErr w:type="spellEnd"/>
          </w:p>
        </w:tc>
        <w:tc>
          <w:tcPr>
            <w:tcW w:w="1418" w:type="dxa"/>
          </w:tcPr>
          <w:p w:rsidR="00DE0271" w:rsidRPr="00D8309A" w:rsidRDefault="00DE0271" w:rsidP="008C762D">
            <w:pPr>
              <w:ind w:firstLine="4529"/>
              <w:rPr>
                <w:sz w:val="24"/>
                <w:szCs w:val="24"/>
                <w:lang w:val="sv-SE"/>
              </w:rPr>
            </w:pPr>
            <w:r w:rsidRPr="00D8309A">
              <w:rPr>
                <w:sz w:val="24"/>
                <w:szCs w:val="24"/>
                <w:lang w:val="sv-SE"/>
              </w:rPr>
              <w:t>TTeikn. afgr.</w:t>
            </w:r>
          </w:p>
        </w:tc>
        <w:tc>
          <w:tcPr>
            <w:tcW w:w="2126" w:type="dxa"/>
          </w:tcPr>
          <w:p w:rsidR="00DE0271" w:rsidRPr="00D8309A" w:rsidRDefault="00DE0271" w:rsidP="008C762D">
            <w:pPr>
              <w:rPr>
                <w:sz w:val="24"/>
                <w:szCs w:val="24"/>
                <w:lang w:val="sv-SE"/>
              </w:rPr>
            </w:pPr>
            <w:r w:rsidRPr="00D8309A">
              <w:rPr>
                <w:sz w:val="24"/>
                <w:szCs w:val="24"/>
                <w:lang w:val="sv-SE"/>
              </w:rPr>
              <w:t>Framkvæmdir innan 8 mán.</w:t>
            </w:r>
            <w:r>
              <w:rPr>
                <w:sz w:val="24"/>
                <w:szCs w:val="24"/>
                <w:lang w:val="sv-SE"/>
              </w:rPr>
              <w:t xml:space="preserve"> Frá lóðarúthlutun</w:t>
            </w:r>
          </w:p>
        </w:tc>
        <w:tc>
          <w:tcPr>
            <w:tcW w:w="1690" w:type="dxa"/>
          </w:tcPr>
          <w:p w:rsidR="00DE0271" w:rsidRPr="00D8309A" w:rsidRDefault="00DE0271" w:rsidP="008C762D">
            <w:pPr>
              <w:rPr>
                <w:sz w:val="24"/>
                <w:szCs w:val="24"/>
                <w:lang w:val="sv-SE"/>
              </w:rPr>
            </w:pPr>
            <w:r w:rsidRPr="00D8309A">
              <w:rPr>
                <w:sz w:val="24"/>
                <w:szCs w:val="24"/>
                <w:lang w:val="sv-SE"/>
              </w:rPr>
              <w:t>Framkvæmdir hafnar</w:t>
            </w:r>
          </w:p>
        </w:tc>
      </w:tr>
      <w:tr w:rsidR="00DE0271" w:rsidRPr="00D8309A" w:rsidTr="008C762D">
        <w:tc>
          <w:tcPr>
            <w:tcW w:w="1420" w:type="dxa"/>
          </w:tcPr>
          <w:p w:rsidR="00DE0271" w:rsidRPr="00D8309A" w:rsidRDefault="00DE0271" w:rsidP="008C762D">
            <w:pPr>
              <w:rPr>
                <w:sz w:val="24"/>
                <w:szCs w:val="24"/>
                <w:lang w:val="sv-SE"/>
              </w:rPr>
            </w:pPr>
            <w:r>
              <w:rPr>
                <w:sz w:val="24"/>
                <w:szCs w:val="24"/>
                <w:lang w:val="sv-SE"/>
              </w:rPr>
              <w:t>Nr. lóð</w:t>
            </w:r>
          </w:p>
        </w:tc>
        <w:tc>
          <w:tcPr>
            <w:tcW w:w="2409" w:type="dxa"/>
          </w:tcPr>
          <w:p w:rsidR="00DE0271" w:rsidRPr="00DE0271" w:rsidRDefault="00DE0271" w:rsidP="008C762D">
            <w:pPr>
              <w:rPr>
                <w:sz w:val="22"/>
                <w:szCs w:val="24"/>
                <w:lang w:val="sv-SE"/>
              </w:rPr>
            </w:pPr>
          </w:p>
        </w:tc>
        <w:tc>
          <w:tcPr>
            <w:tcW w:w="1843" w:type="dxa"/>
          </w:tcPr>
          <w:p w:rsidR="00DE0271" w:rsidRPr="00DE0271" w:rsidRDefault="00DE0271" w:rsidP="008C762D">
            <w:pPr>
              <w:rPr>
                <w:sz w:val="22"/>
                <w:szCs w:val="24"/>
                <w:lang w:val="sv-SE"/>
              </w:rPr>
            </w:pPr>
          </w:p>
        </w:tc>
        <w:tc>
          <w:tcPr>
            <w:tcW w:w="2268" w:type="dxa"/>
          </w:tcPr>
          <w:p w:rsidR="00DE0271" w:rsidRPr="00D8309A" w:rsidRDefault="00DE0271" w:rsidP="008C762D">
            <w:pPr>
              <w:rPr>
                <w:b/>
                <w:sz w:val="24"/>
                <w:szCs w:val="24"/>
                <w:lang w:val="sv-SE"/>
              </w:rPr>
            </w:pPr>
          </w:p>
        </w:tc>
        <w:tc>
          <w:tcPr>
            <w:tcW w:w="2126" w:type="dxa"/>
          </w:tcPr>
          <w:p w:rsidR="00DE0271" w:rsidRPr="00D8309A" w:rsidRDefault="00DE0271" w:rsidP="008C762D">
            <w:pPr>
              <w:rPr>
                <w:sz w:val="24"/>
                <w:szCs w:val="24"/>
                <w:lang w:val="sv-SE"/>
              </w:rPr>
            </w:pPr>
          </w:p>
        </w:tc>
        <w:tc>
          <w:tcPr>
            <w:tcW w:w="1418" w:type="dxa"/>
          </w:tcPr>
          <w:p w:rsidR="00DE0271" w:rsidRPr="00D8309A" w:rsidRDefault="00DE0271" w:rsidP="008C762D">
            <w:pPr>
              <w:rPr>
                <w:sz w:val="24"/>
                <w:szCs w:val="24"/>
                <w:lang w:val="sv-SE"/>
              </w:rPr>
            </w:pPr>
          </w:p>
          <w:p w:rsidR="00DE0271" w:rsidRPr="00D8309A" w:rsidRDefault="00DE0271" w:rsidP="008C762D">
            <w:pPr>
              <w:rPr>
                <w:sz w:val="24"/>
                <w:szCs w:val="24"/>
                <w:lang w:val="sv-SE"/>
              </w:rPr>
            </w:pPr>
          </w:p>
        </w:tc>
        <w:tc>
          <w:tcPr>
            <w:tcW w:w="2126" w:type="dxa"/>
          </w:tcPr>
          <w:p w:rsidR="00DE0271" w:rsidRPr="00D8309A" w:rsidRDefault="00DE0271" w:rsidP="00DE0271">
            <w:pPr>
              <w:rPr>
                <w:sz w:val="24"/>
                <w:szCs w:val="24"/>
                <w:lang w:val="sv-SE"/>
              </w:rPr>
            </w:pPr>
          </w:p>
        </w:tc>
        <w:tc>
          <w:tcPr>
            <w:tcW w:w="1690" w:type="dxa"/>
          </w:tcPr>
          <w:p w:rsidR="00DE0271" w:rsidRPr="00D8309A" w:rsidRDefault="00DE0271" w:rsidP="008C762D">
            <w:pPr>
              <w:rPr>
                <w:sz w:val="24"/>
                <w:szCs w:val="24"/>
                <w:lang w:val="sv-SE"/>
              </w:rPr>
            </w:pPr>
          </w:p>
        </w:tc>
      </w:tr>
    </w:tbl>
    <w:p w:rsidR="00DE0271" w:rsidRDefault="00DE0271" w:rsidP="00DE0271">
      <w:pPr>
        <w:spacing w:before="100" w:beforeAutospacing="1" w:after="240" w:line="240" w:lineRule="auto"/>
        <w:rPr>
          <w:rFonts w:ascii="Times New Roman" w:eastAsia="Times New Roman" w:hAnsi="Times New Roman" w:cs="Times New Roman"/>
          <w:sz w:val="24"/>
          <w:szCs w:val="24"/>
          <w:lang w:eastAsia="is-IS"/>
        </w:rPr>
      </w:pPr>
      <w:r w:rsidRPr="00D8309A">
        <w:rPr>
          <w:rFonts w:ascii="Times New Roman" w:eastAsia="Times New Roman" w:hAnsi="Times New Roman" w:cs="Times New Roman"/>
          <w:sz w:val="24"/>
          <w:szCs w:val="24"/>
          <w:lang w:eastAsia="is-IS"/>
        </w:rPr>
        <w:t>Í gjaldskrá gatnagerðargjalda segir:</w:t>
      </w:r>
    </w:p>
    <w:p w:rsidR="00DE0271" w:rsidRPr="00D8309A" w:rsidRDefault="00DE0271" w:rsidP="00DE0271">
      <w:pPr>
        <w:spacing w:before="100" w:beforeAutospacing="1" w:after="240" w:line="240" w:lineRule="auto"/>
        <w:rPr>
          <w:rFonts w:eastAsia="Times New Roman" w:cs="Times New Roman"/>
          <w:sz w:val="24"/>
          <w:szCs w:val="24"/>
          <w:lang w:eastAsia="is-IS"/>
        </w:rPr>
      </w:pPr>
      <w:r w:rsidRPr="008F131A">
        <w:t>10. gr. Gjalddagar gatnagerðargjalds eru eftirfarandi: Gjalddagar gatnagerðargjalds skulu vera sem hér segir: Við lóðarveitingu skal greiða 15% af ·ætluðu gatnagerðargjaldi, innan eins mánaðar frá lóðarveitingu. Þegar byggingarleyfi er veitt skal greiða næstu 20%, eða þá verði komin 35%, af reiknuðum gatnagerðargjöldum, sem breytist samkvæmt byggingarvísiölu á hverjum tíma. Eftirstöðvar, 65% af gatnagerðargjöldunum, greiðast með jöfnum árlegum afborgunum á næstu fjórum árum. Gjalddagi afborgana er 1. júlí ár hvert. Vextir greiðast eftir á, á sömu gjalddögum og skulu þeir fylgja vöxtum almennra húsnæðislána.</w:t>
      </w:r>
    </w:p>
    <w:p w:rsidR="00DE0271" w:rsidRPr="00D8309A" w:rsidRDefault="00DE0271" w:rsidP="00DE0271">
      <w:pPr>
        <w:spacing w:before="100" w:beforeAutospacing="1" w:after="240" w:line="240" w:lineRule="auto"/>
        <w:rPr>
          <w:rFonts w:eastAsia="Times New Roman" w:cs="Times New Roman"/>
          <w:lang w:eastAsia="is-IS"/>
        </w:rPr>
      </w:pPr>
      <w:r w:rsidRPr="00D8309A">
        <w:rPr>
          <w:rFonts w:eastAsia="Times New Roman" w:cs="Times New Roman"/>
          <w:lang w:eastAsia="is-IS"/>
        </w:rPr>
        <w:t>14. gr. Heimild til afturköllunar byggingarleyfis ef gatnagerðargjald er ekki greitt: Nú greiðir lóðarhafi ekki gatnagerðargjald á tilskildum tíma og er bæjarstjórn þá heimilt að afturkalla byggingarleyfið og/eða lóðarúthlutun og skal kveðið svo á í úthlutunar- eða byggingarskilmálum. Hafi teikningar af fyrirhuguðu húsi ekki borist byggingarnefnd til samþykktar innan 6 mánaða frá úthlutun lóðar, fellur lóðarúthlutunin úr gildi ( án tilkynningar til lóðarhafa) og endurgreiðast gatnagerðargjöld samkvæmt gr. 13, lið 2. Byggingarfrestur er 12 mánuðir (hefja framkvæmdir innan 8 mánaða frá úthlutun. Hægt að veita frest í 4 mánuði til viðbótar, þá alls er frestur 12 mánuðir) þ.e. að lóð fellur aftur til bæjarsjóðs hafi framkvæmdir ekki verið hafnar innan þess tíma frá veitingu hennar, nema leyfið hafi verið háð öðrum skilmálum um byggingarfrest. (Fellur úr gildi án tilkynningar til lóðarhafa).</w:t>
      </w:r>
    </w:p>
    <w:p w:rsidR="00DE0271" w:rsidRPr="00646581" w:rsidRDefault="00DE0271" w:rsidP="00DE0271">
      <w:pPr>
        <w:rPr>
          <w:sz w:val="24"/>
          <w:szCs w:val="24"/>
        </w:rPr>
      </w:pPr>
    </w:p>
    <w:p w:rsidR="00DE0271" w:rsidRDefault="00DE0271" w:rsidP="00DE0271">
      <w:bookmarkStart w:id="0" w:name="_GoBack"/>
      <w:bookmarkEnd w:id="0"/>
    </w:p>
    <w:sectPr w:rsidR="00DE0271" w:rsidSect="00DE589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71"/>
    <w:rsid w:val="00987651"/>
    <w:rsid w:val="00DE02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9395"/>
  <w15:chartTrackingRefBased/>
  <w15:docId w15:val="{2061B092-2DD0-401D-85C9-54853D11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0271"/>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Sigurður Jónsson</dc:creator>
  <cp:keywords/>
  <dc:description/>
  <cp:lastModifiedBy>Sigurður Jónsson</cp:lastModifiedBy>
  <cp:revision>1</cp:revision>
  <cp:lastPrinted>2017-11-08T08:52:00Z</cp:lastPrinted>
  <dcterms:created xsi:type="dcterms:W3CDTF">2017-11-08T08:50:00Z</dcterms:created>
  <dcterms:modified xsi:type="dcterms:W3CDTF">2017-11-08T08:57:00Z</dcterms:modified>
</cp:coreProperties>
</file>